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79" w:rsidRPr="00C826B5" w:rsidRDefault="00672DE1" w:rsidP="003A0279">
      <w:pPr>
        <w:spacing w:after="276"/>
        <w:ind w:left="284"/>
        <w:jc w:val="center"/>
        <w:rPr>
          <w:rFonts w:ascii="Calibri" w:hAnsi="Calibri" w:cs="Arial"/>
          <w:b/>
          <w:bCs/>
          <w:w w:val="102"/>
          <w:sz w:val="28"/>
          <w:szCs w:val="28"/>
          <w:u w:val="single"/>
        </w:rPr>
      </w:pP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 xml:space="preserve">Draft </w:t>
      </w:r>
      <w:r>
        <w:rPr>
          <w:rFonts w:ascii="Calibri" w:hAnsi="Calibri" w:cs="Arial"/>
          <w:b/>
          <w:bCs/>
          <w:w w:val="102"/>
          <w:sz w:val="28"/>
          <w:szCs w:val="28"/>
          <w:u w:val="single"/>
        </w:rPr>
        <w:t xml:space="preserve">Cycling Safety </w:t>
      </w:r>
      <w:r w:rsidRPr="00C826B5">
        <w:rPr>
          <w:rFonts w:ascii="Calibri" w:hAnsi="Calibri" w:cs="Arial"/>
          <w:b/>
          <w:bCs/>
          <w:w w:val="102"/>
          <w:sz w:val="28"/>
          <w:szCs w:val="28"/>
          <w:u w:val="single"/>
        </w:rPr>
        <w:t>2019/20 Capital Programme</w:t>
      </w:r>
    </w:p>
    <w:p w:rsidR="003A0279" w:rsidRPr="00C826B5" w:rsidRDefault="00A27449" w:rsidP="003A0279">
      <w:pPr>
        <w:widowControl w:val="0"/>
        <w:autoSpaceDE w:val="0"/>
        <w:autoSpaceDN w:val="0"/>
        <w:adjustRightInd w:val="0"/>
        <w:spacing w:before="48"/>
        <w:ind w:left="-426" w:right="158"/>
        <w:jc w:val="center"/>
        <w:rPr>
          <w:rFonts w:ascii="Calibri" w:hAnsi="Calibri" w:cs="Arial"/>
          <w:b/>
          <w:bCs/>
          <w:w w:val="102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557"/>
        <w:gridCol w:w="1557"/>
        <w:gridCol w:w="3635"/>
        <w:gridCol w:w="1421"/>
      </w:tblGrid>
      <w:tr w:rsidR="00961228" w:rsidTr="007E7909">
        <w:trPr>
          <w:trHeight w:val="510"/>
          <w:tblHeader/>
        </w:trPr>
        <w:tc>
          <w:tcPr>
            <w:tcW w:w="5000" w:type="pct"/>
            <w:gridSpan w:val="5"/>
            <w:shd w:val="clear" w:color="auto" w:fill="E4C9FF"/>
            <w:vAlign w:val="center"/>
            <w:hideMark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Programme: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Cycling Safety</w:t>
            </w:r>
          </w:p>
        </w:tc>
      </w:tr>
      <w:tr w:rsidR="00961228" w:rsidTr="007E7909">
        <w:trPr>
          <w:trHeight w:val="545"/>
          <w:tblHeader/>
        </w:trPr>
        <w:tc>
          <w:tcPr>
            <w:tcW w:w="855" w:type="pct"/>
            <w:shd w:val="clear" w:color="auto" w:fill="E4C9FF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Name</w:t>
            </w:r>
          </w:p>
        </w:tc>
        <w:tc>
          <w:tcPr>
            <w:tcW w:w="790" w:type="pct"/>
            <w:shd w:val="clear" w:color="auto" w:fill="E4C9FF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Division</w:t>
            </w:r>
          </w:p>
        </w:tc>
        <w:tc>
          <w:tcPr>
            <w:tcW w:w="790" w:type="pct"/>
            <w:shd w:val="clear" w:color="auto" w:fill="E4C9FF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District</w:t>
            </w:r>
          </w:p>
        </w:tc>
        <w:tc>
          <w:tcPr>
            <w:tcW w:w="1844" w:type="pct"/>
            <w:shd w:val="clear" w:color="auto" w:fill="E4C9FF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Project Description</w:t>
            </w:r>
          </w:p>
        </w:tc>
        <w:tc>
          <w:tcPr>
            <w:tcW w:w="722" w:type="pct"/>
            <w:shd w:val="clear" w:color="auto" w:fill="E4C9FF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Estimate</w:t>
            </w:r>
          </w:p>
        </w:tc>
      </w:tr>
      <w:tr w:rsidR="00961228" w:rsidTr="007E7909">
        <w:trPr>
          <w:trHeight w:val="457"/>
        </w:trPr>
        <w:tc>
          <w:tcPr>
            <w:tcW w:w="4278" w:type="pct"/>
            <w:gridSpan w:val="4"/>
            <w:tcBorders>
              <w:bottom w:val="single" w:sz="4" w:space="0" w:color="auto"/>
            </w:tcBorders>
            <w:shd w:val="clear" w:color="auto" w:fill="FFF2CC"/>
            <w:vAlign w:val="center"/>
            <w:hideMark/>
          </w:tcPr>
          <w:p w:rsidR="003A0279" w:rsidRPr="00C826B5" w:rsidRDefault="00672DE1" w:rsidP="007E790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826B5">
              <w:rPr>
                <w:rFonts w:ascii="Calibri" w:hAnsi="Calibri" w:cs="Arial"/>
                <w:b/>
                <w:bCs/>
                <w:color w:val="000000"/>
                <w:szCs w:val="24"/>
              </w:rPr>
              <w:t>Countywide Capital Allocation: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500,000</w:t>
            </w:r>
          </w:p>
        </w:tc>
      </w:tr>
      <w:tr w:rsidR="00961228" w:rsidTr="007E7909">
        <w:trPr>
          <w:trHeight w:val="1519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proofErr w:type="spellStart"/>
            <w:r w:rsidRPr="00DF6F7D">
              <w:rPr>
                <w:rFonts w:ascii="Calibri" w:hAnsi="Calibri" w:cs="Arial"/>
                <w:bCs/>
                <w:color w:val="000000"/>
                <w:szCs w:val="24"/>
              </w:rPr>
              <w:t>Freckleton</w:t>
            </w:r>
            <w:proofErr w:type="spellEnd"/>
            <w:r w:rsidRPr="00DF6F7D">
              <w:rPr>
                <w:rFonts w:ascii="Calibri" w:hAnsi="Calibri" w:cs="Arial"/>
                <w:bCs/>
                <w:color w:val="000000"/>
                <w:szCs w:val="24"/>
              </w:rPr>
              <w:t xml:space="preserve"> cycle lanes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DF6F7D">
              <w:rPr>
                <w:rFonts w:ascii="Calibri" w:hAnsi="Calibri" w:cs="Arial"/>
                <w:bCs/>
                <w:color w:val="000000"/>
                <w:szCs w:val="24"/>
              </w:rPr>
              <w:t>Fylde South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DF6F7D">
              <w:rPr>
                <w:rFonts w:ascii="Calibri" w:hAnsi="Calibri" w:cs="Arial"/>
                <w:bCs/>
                <w:color w:val="000000"/>
                <w:szCs w:val="24"/>
              </w:rPr>
              <w:t>Fylde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 w:rsidRPr="00DF6F7D">
              <w:rPr>
                <w:rFonts w:ascii="Calibri" w:hAnsi="Calibri"/>
                <w:szCs w:val="24"/>
              </w:rPr>
              <w:t xml:space="preserve">1.5m mandatory cycle lanes on westbound approach and exit to </w:t>
            </w:r>
            <w:r>
              <w:rPr>
                <w:rFonts w:ascii="Calibri" w:hAnsi="Calibri"/>
                <w:szCs w:val="24"/>
              </w:rPr>
              <w:t xml:space="preserve">A584 Preston New Road, </w:t>
            </w:r>
            <w:proofErr w:type="spellStart"/>
            <w:r w:rsidRPr="00DF6F7D">
              <w:rPr>
                <w:rFonts w:ascii="Calibri" w:hAnsi="Calibri"/>
                <w:szCs w:val="24"/>
              </w:rPr>
              <w:t>Freck</w:t>
            </w:r>
            <w:r>
              <w:rPr>
                <w:rFonts w:ascii="Calibri" w:hAnsi="Calibri"/>
                <w:szCs w:val="24"/>
              </w:rPr>
              <w:t>leton</w:t>
            </w:r>
            <w:proofErr w:type="spellEnd"/>
            <w:r>
              <w:rPr>
                <w:rFonts w:ascii="Calibri" w:hAnsi="Calibri"/>
                <w:szCs w:val="24"/>
              </w:rPr>
              <w:t xml:space="preserve"> Roundabout using high visibility</w:t>
            </w:r>
            <w:r w:rsidRPr="00B1208A">
              <w:rPr>
                <w:rFonts w:ascii="Calibri" w:hAnsi="Calibri"/>
                <w:szCs w:val="24"/>
              </w:rPr>
              <w:t xml:space="preserve"> profiled marking</w:t>
            </w:r>
            <w:r>
              <w:rPr>
                <w:rFonts w:ascii="Calibri" w:hAnsi="Calibri"/>
                <w:szCs w:val="24"/>
              </w:rPr>
              <w:t xml:space="preserve">s that will </w:t>
            </w:r>
            <w:r w:rsidRPr="00B1208A">
              <w:rPr>
                <w:rFonts w:ascii="Calibri" w:hAnsi="Calibri"/>
                <w:szCs w:val="24"/>
              </w:rPr>
              <w:t xml:space="preserve">provide an audible warning when drivers stray onto the edge of </w:t>
            </w:r>
            <w:r>
              <w:rPr>
                <w:rFonts w:ascii="Calibri" w:hAnsi="Calibri"/>
                <w:szCs w:val="24"/>
              </w:rPr>
              <w:t xml:space="preserve">the carriageway, from the entry / exit of </w:t>
            </w:r>
            <w:proofErr w:type="spellStart"/>
            <w:r>
              <w:rPr>
                <w:rFonts w:ascii="Calibri" w:hAnsi="Calibri"/>
                <w:szCs w:val="24"/>
              </w:rPr>
              <w:t>Freckleton</w:t>
            </w:r>
            <w:proofErr w:type="spellEnd"/>
            <w:r>
              <w:rPr>
                <w:rFonts w:ascii="Calibri" w:hAnsi="Calibri"/>
                <w:szCs w:val="24"/>
              </w:rPr>
              <w:t xml:space="preserve"> Roundabout to Greenfield Park.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£32,000</w:t>
            </w:r>
          </w:p>
        </w:tc>
      </w:tr>
      <w:tr w:rsidR="00961228" w:rsidTr="007E7909">
        <w:trPr>
          <w:trHeight w:val="127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 w:rsidRPr="00DF6F7D">
              <w:rPr>
                <w:rFonts w:ascii="Calibri" w:hAnsi="Calibri"/>
                <w:szCs w:val="24"/>
              </w:rPr>
              <w:t>Fleetwood to Thornton Cycle Connection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DF6F7D">
              <w:rPr>
                <w:rFonts w:ascii="Calibri" w:hAnsi="Calibri" w:cs="Arial"/>
                <w:bCs/>
                <w:color w:val="000000"/>
                <w:szCs w:val="24"/>
              </w:rPr>
              <w:t>Fleetwood East/ Cleveleys East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DF6F7D">
              <w:rPr>
                <w:rFonts w:ascii="Calibri" w:hAnsi="Calibri" w:cs="Arial"/>
                <w:bCs/>
                <w:color w:val="000000"/>
                <w:szCs w:val="24"/>
              </w:rPr>
              <w:t>Wyre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DF6F7D">
              <w:rPr>
                <w:rFonts w:ascii="Calibri" w:hAnsi="Calibri" w:cs="Arial"/>
                <w:bCs/>
                <w:color w:val="000000"/>
                <w:szCs w:val="24"/>
              </w:rPr>
              <w:t>Shared use footway linking A585 to Bourne Way along the western side of Fleetwood Road</w:t>
            </w:r>
            <w:r>
              <w:rPr>
                <w:rFonts w:ascii="Calibri" w:hAnsi="Calibri" w:cs="Arial"/>
                <w:bCs/>
                <w:color w:val="000000"/>
                <w:szCs w:val="24"/>
              </w:rPr>
              <w:t>, including a p</w:t>
            </w:r>
            <w:r w:rsidRPr="00DF6F7D">
              <w:rPr>
                <w:rFonts w:ascii="Calibri" w:hAnsi="Calibri" w:cs="Arial"/>
                <w:bCs/>
                <w:color w:val="000000"/>
                <w:szCs w:val="24"/>
              </w:rPr>
              <w:t xml:space="preserve">roposed Toucan to with </w:t>
            </w:r>
            <w:r>
              <w:rPr>
                <w:rFonts w:ascii="Calibri" w:hAnsi="Calibri" w:cs="Arial"/>
                <w:bCs/>
                <w:color w:val="000000"/>
                <w:szCs w:val="24"/>
              </w:rPr>
              <w:t>the existing public right of way.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£150,000</w:t>
            </w:r>
          </w:p>
        </w:tc>
      </w:tr>
      <w:tr w:rsidR="00961228" w:rsidTr="007E7909">
        <w:trPr>
          <w:trHeight w:val="226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proofErr w:type="spellStart"/>
            <w:r w:rsidRPr="00BF4D51">
              <w:rPr>
                <w:rFonts w:ascii="Calibri" w:hAnsi="Calibri"/>
                <w:szCs w:val="24"/>
              </w:rPr>
              <w:t>Scotforth</w:t>
            </w:r>
            <w:proofErr w:type="spellEnd"/>
            <w:r w:rsidRPr="00BF4D51">
              <w:rPr>
                <w:rFonts w:ascii="Calibri" w:hAnsi="Calibri"/>
                <w:szCs w:val="24"/>
              </w:rPr>
              <w:t xml:space="preserve"> Road Cycle Lane, Lancaster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BF4D51">
              <w:rPr>
                <w:rFonts w:ascii="Calibri" w:hAnsi="Calibri" w:cs="Arial"/>
                <w:bCs/>
                <w:color w:val="000000"/>
                <w:szCs w:val="24"/>
              </w:rPr>
              <w:t>Lancaster South East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 w:cs="Arial"/>
                <w:bCs/>
                <w:color w:val="000000"/>
                <w:szCs w:val="24"/>
              </w:rPr>
            </w:pPr>
            <w:r w:rsidRPr="00BF4D51">
              <w:rPr>
                <w:rFonts w:ascii="Calibri" w:hAnsi="Calibri" w:cs="Arial"/>
                <w:bCs/>
                <w:color w:val="000000"/>
                <w:szCs w:val="24"/>
              </w:rPr>
              <w:t>Lancaster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Install</w:t>
            </w:r>
            <w:r w:rsidRPr="00BF4D51">
              <w:rPr>
                <w:rFonts w:ascii="Calibri" w:hAnsi="Calibri"/>
                <w:szCs w:val="24"/>
              </w:rPr>
              <w:t xml:space="preserve"> green coloured surfa</w:t>
            </w:r>
            <w:r>
              <w:rPr>
                <w:rFonts w:ascii="Calibri" w:hAnsi="Calibri"/>
                <w:szCs w:val="24"/>
              </w:rPr>
              <w:t xml:space="preserve">ce treatment for the cycle lane on the </w:t>
            </w:r>
            <w:r w:rsidRPr="00BF4D51">
              <w:rPr>
                <w:rFonts w:ascii="Calibri" w:hAnsi="Calibri"/>
                <w:szCs w:val="24"/>
              </w:rPr>
              <w:t xml:space="preserve">A6 </w:t>
            </w:r>
            <w:proofErr w:type="spellStart"/>
            <w:r w:rsidRPr="00BF4D51">
              <w:rPr>
                <w:rFonts w:ascii="Calibri" w:hAnsi="Calibri"/>
                <w:szCs w:val="24"/>
              </w:rPr>
              <w:t>Scotforth</w:t>
            </w:r>
            <w:proofErr w:type="spellEnd"/>
            <w:r w:rsidRPr="00BF4D51">
              <w:rPr>
                <w:rFonts w:ascii="Calibri" w:hAnsi="Calibri"/>
                <w:szCs w:val="24"/>
              </w:rPr>
              <w:t xml:space="preserve"> Road south of Junction with Barton Road</w:t>
            </w:r>
            <w:r>
              <w:rPr>
                <w:rFonts w:ascii="Calibri" w:hAnsi="Calibri"/>
                <w:szCs w:val="24"/>
              </w:rPr>
              <w:t xml:space="preserve"> and t</w:t>
            </w:r>
            <w:r w:rsidRPr="00BF4D51">
              <w:rPr>
                <w:rFonts w:ascii="Calibri" w:hAnsi="Calibri"/>
                <w:szCs w:val="24"/>
              </w:rPr>
              <w:t xml:space="preserve">ighten </w:t>
            </w:r>
            <w:r>
              <w:rPr>
                <w:rFonts w:ascii="Calibri" w:hAnsi="Calibri"/>
                <w:szCs w:val="24"/>
              </w:rPr>
              <w:t xml:space="preserve">the </w:t>
            </w:r>
            <w:r w:rsidRPr="00BF4D51">
              <w:rPr>
                <w:rFonts w:ascii="Calibri" w:hAnsi="Calibri"/>
                <w:szCs w:val="24"/>
              </w:rPr>
              <w:t>radius</w:t>
            </w:r>
            <w:r>
              <w:rPr>
                <w:rFonts w:ascii="Calibri" w:hAnsi="Calibri"/>
                <w:szCs w:val="24"/>
              </w:rPr>
              <w:t xml:space="preserve"> into the petrol station </w:t>
            </w:r>
            <w:r w:rsidRPr="00BF4D51">
              <w:rPr>
                <w:rFonts w:ascii="Calibri" w:hAnsi="Calibri"/>
                <w:szCs w:val="24"/>
              </w:rPr>
              <w:t>and ensure there's a kerb upstand where possible</w:t>
            </w:r>
            <w:r>
              <w:rPr>
                <w:rFonts w:ascii="Calibri" w:hAnsi="Calibri"/>
                <w:szCs w:val="24"/>
              </w:rPr>
              <w:t xml:space="preserve"> in this location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£27,000</w:t>
            </w:r>
          </w:p>
        </w:tc>
      </w:tr>
      <w:tr w:rsidR="00961228" w:rsidTr="007E7909">
        <w:trPr>
          <w:trHeight w:val="140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F4D51">
              <w:rPr>
                <w:rFonts w:ascii="Calibri" w:hAnsi="Calibri"/>
                <w:color w:val="000000"/>
                <w:szCs w:val="24"/>
              </w:rPr>
              <w:t>Bridge Street Cycle Lane, Lancaster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F4D51">
              <w:rPr>
                <w:rFonts w:ascii="Calibri" w:hAnsi="Calibri"/>
                <w:color w:val="000000"/>
                <w:szCs w:val="24"/>
              </w:rPr>
              <w:t>Lancaster East/ Lancaster Central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Lancaster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 w:rsidRPr="00BF4D51">
              <w:rPr>
                <w:rFonts w:ascii="Calibri" w:hAnsi="Calibri"/>
                <w:szCs w:val="24"/>
              </w:rPr>
              <w:t>Remarking of cycle lane</w:t>
            </w:r>
            <w:r>
              <w:rPr>
                <w:rFonts w:ascii="Calibri" w:hAnsi="Calibri"/>
                <w:szCs w:val="24"/>
              </w:rPr>
              <w:t xml:space="preserve"> from </w:t>
            </w:r>
            <w:r w:rsidRPr="00B94149">
              <w:rPr>
                <w:rFonts w:ascii="Calibri" w:hAnsi="Calibri"/>
                <w:szCs w:val="24"/>
              </w:rPr>
              <w:t xml:space="preserve">Bridge Lane </w:t>
            </w:r>
            <w:r>
              <w:rPr>
                <w:rFonts w:ascii="Calibri" w:hAnsi="Calibri"/>
                <w:szCs w:val="24"/>
              </w:rPr>
              <w:t>to</w:t>
            </w:r>
            <w:r w:rsidRPr="00B94149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B94149">
              <w:rPr>
                <w:rFonts w:ascii="Calibri" w:hAnsi="Calibri"/>
                <w:szCs w:val="24"/>
              </w:rPr>
              <w:t>Damside</w:t>
            </w:r>
            <w:proofErr w:type="spellEnd"/>
            <w:r w:rsidRPr="00B94149">
              <w:rPr>
                <w:rFonts w:ascii="Calibri" w:hAnsi="Calibri"/>
                <w:szCs w:val="24"/>
              </w:rPr>
              <w:t xml:space="preserve"> Street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£15,000</w:t>
            </w:r>
          </w:p>
        </w:tc>
      </w:tr>
      <w:tr w:rsidR="00961228" w:rsidTr="007E7909">
        <w:trPr>
          <w:trHeight w:val="140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F4D51">
              <w:rPr>
                <w:rFonts w:ascii="Calibri" w:hAnsi="Calibri"/>
                <w:color w:val="000000"/>
                <w:szCs w:val="24"/>
              </w:rPr>
              <w:t>East Cliff Cycle Link, Preston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F4D51">
              <w:rPr>
                <w:rFonts w:ascii="Calibri" w:hAnsi="Calibri"/>
                <w:color w:val="000000"/>
                <w:szCs w:val="24"/>
              </w:rPr>
              <w:t>Preston City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F4D51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CONTRIBUTION</w:t>
            </w:r>
          </w:p>
          <w:p w:rsidR="003A0279" w:rsidRPr="00BF4D51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 w:rsidRPr="00B94149">
              <w:rPr>
                <w:rFonts w:ascii="Calibri" w:hAnsi="Calibri"/>
                <w:szCs w:val="24"/>
              </w:rPr>
              <w:t xml:space="preserve">Contribution </w:t>
            </w:r>
            <w:r>
              <w:rPr>
                <w:rFonts w:ascii="Calibri" w:hAnsi="Calibri"/>
                <w:szCs w:val="24"/>
              </w:rPr>
              <w:t>to the proposed link</w:t>
            </w:r>
            <w:r w:rsidRPr="00B94149">
              <w:rPr>
                <w:rFonts w:ascii="Calibri" w:hAnsi="Calibri"/>
                <w:szCs w:val="24"/>
              </w:rPr>
              <w:t xml:space="preserve"> from the park to the </w:t>
            </w:r>
            <w:r>
              <w:rPr>
                <w:rFonts w:ascii="Calibri" w:hAnsi="Calibri"/>
                <w:szCs w:val="24"/>
              </w:rPr>
              <w:t xml:space="preserve">railway </w:t>
            </w:r>
            <w:r w:rsidRPr="00B94149">
              <w:rPr>
                <w:rFonts w:ascii="Calibri" w:hAnsi="Calibri"/>
                <w:szCs w:val="24"/>
              </w:rPr>
              <w:t>station</w:t>
            </w:r>
            <w:r>
              <w:rPr>
                <w:rFonts w:ascii="Calibri" w:hAnsi="Calibri"/>
                <w:szCs w:val="24"/>
              </w:rPr>
              <w:t xml:space="preserve">. </w:t>
            </w:r>
            <w:r w:rsidRPr="00067D4B">
              <w:rPr>
                <w:rFonts w:ascii="Calibri" w:hAnsi="Calibri"/>
                <w:szCs w:val="24"/>
              </w:rPr>
              <w:t xml:space="preserve">Connect the South </w:t>
            </w:r>
            <w:proofErr w:type="spellStart"/>
            <w:r w:rsidRPr="00067D4B">
              <w:rPr>
                <w:rFonts w:ascii="Calibri" w:hAnsi="Calibri"/>
                <w:szCs w:val="24"/>
              </w:rPr>
              <w:t>Ribble</w:t>
            </w:r>
            <w:proofErr w:type="spellEnd"/>
            <w:r w:rsidRPr="00067D4B">
              <w:rPr>
                <w:rFonts w:ascii="Calibri" w:hAnsi="Calibri"/>
                <w:szCs w:val="24"/>
              </w:rPr>
              <w:t xml:space="preserve"> and </w:t>
            </w:r>
            <w:proofErr w:type="spellStart"/>
            <w:r w:rsidRPr="00067D4B">
              <w:rPr>
                <w:rFonts w:ascii="Calibri" w:hAnsi="Calibri"/>
                <w:szCs w:val="24"/>
              </w:rPr>
              <w:t>Avenham</w:t>
            </w:r>
            <w:proofErr w:type="spellEnd"/>
            <w:r w:rsidRPr="00067D4B">
              <w:rPr>
                <w:rFonts w:ascii="Calibri" w:hAnsi="Calibri"/>
                <w:szCs w:val="24"/>
              </w:rPr>
              <w:t xml:space="preserve"> Park cycle network to the railway station and city centre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£30,000</w:t>
            </w:r>
          </w:p>
        </w:tc>
      </w:tr>
      <w:tr w:rsidR="00961228" w:rsidTr="007E7909">
        <w:trPr>
          <w:trHeight w:val="140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lastRenderedPageBreak/>
              <w:t>Queens Road Victoria Road Cycle Route, Preston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t xml:space="preserve">Preston Central East </w:t>
            </w:r>
            <w:r>
              <w:rPr>
                <w:rFonts w:ascii="Calibri" w:hAnsi="Calibri"/>
                <w:color w:val="000000"/>
                <w:szCs w:val="24"/>
              </w:rPr>
              <w:t xml:space="preserve">and </w:t>
            </w:r>
            <w:r w:rsidRPr="00B94149">
              <w:rPr>
                <w:rFonts w:ascii="Calibri" w:hAnsi="Calibri"/>
                <w:color w:val="000000"/>
                <w:szCs w:val="24"/>
              </w:rPr>
              <w:t xml:space="preserve"> Preston Central West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Installation of a </w:t>
            </w:r>
            <w:r w:rsidRPr="00B94149">
              <w:rPr>
                <w:rFonts w:ascii="Calibri" w:hAnsi="Calibri"/>
                <w:szCs w:val="24"/>
              </w:rPr>
              <w:t>New Toucan Crossing</w:t>
            </w:r>
            <w:r>
              <w:rPr>
                <w:rFonts w:ascii="Calibri" w:hAnsi="Calibri"/>
                <w:szCs w:val="24"/>
              </w:rPr>
              <w:t xml:space="preserve">, </w:t>
            </w:r>
            <w:r w:rsidRPr="00B94149">
              <w:rPr>
                <w:rFonts w:ascii="Calibri" w:hAnsi="Calibri"/>
                <w:szCs w:val="24"/>
              </w:rPr>
              <w:t>removal of no entries for cyclists signs</w:t>
            </w:r>
            <w:r>
              <w:rPr>
                <w:rFonts w:ascii="Calibri" w:hAnsi="Calibri"/>
                <w:szCs w:val="24"/>
              </w:rPr>
              <w:t xml:space="preserve"> and </w:t>
            </w:r>
            <w:r w:rsidRPr="00B94149">
              <w:rPr>
                <w:rFonts w:ascii="Calibri" w:hAnsi="Calibri"/>
                <w:szCs w:val="24"/>
              </w:rPr>
              <w:t xml:space="preserve">road markings and </w:t>
            </w:r>
            <w:r>
              <w:rPr>
                <w:rFonts w:ascii="Calibri" w:hAnsi="Calibri"/>
                <w:szCs w:val="24"/>
              </w:rPr>
              <w:t xml:space="preserve">some </w:t>
            </w:r>
            <w:r w:rsidRPr="00B94149">
              <w:rPr>
                <w:rFonts w:ascii="Calibri" w:hAnsi="Calibri"/>
                <w:szCs w:val="24"/>
              </w:rPr>
              <w:t>minor civils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B94149">
              <w:rPr>
                <w:rFonts w:ascii="Calibri" w:hAnsi="Calibri"/>
                <w:szCs w:val="24"/>
              </w:rPr>
              <w:t xml:space="preserve">on </w:t>
            </w:r>
            <w:r>
              <w:rPr>
                <w:rFonts w:ascii="Calibri" w:hAnsi="Calibri"/>
                <w:szCs w:val="24"/>
              </w:rPr>
              <w:t xml:space="preserve">the </w:t>
            </w:r>
            <w:r w:rsidRPr="00B94149">
              <w:rPr>
                <w:rFonts w:ascii="Calibri" w:hAnsi="Calibri"/>
                <w:szCs w:val="24"/>
              </w:rPr>
              <w:t xml:space="preserve">A6 </w:t>
            </w:r>
            <w:r>
              <w:rPr>
                <w:rFonts w:ascii="Calibri" w:hAnsi="Calibri"/>
                <w:szCs w:val="24"/>
              </w:rPr>
              <w:t xml:space="preserve">at </w:t>
            </w:r>
            <w:proofErr w:type="spellStart"/>
            <w:r w:rsidRPr="00B94149">
              <w:rPr>
                <w:rFonts w:ascii="Calibri" w:hAnsi="Calibri"/>
                <w:szCs w:val="24"/>
              </w:rPr>
              <w:t>Woodplumpton</w:t>
            </w:r>
            <w:proofErr w:type="spellEnd"/>
            <w:r w:rsidRPr="00B94149">
              <w:rPr>
                <w:rFonts w:ascii="Calibri" w:hAnsi="Calibri"/>
                <w:szCs w:val="24"/>
              </w:rPr>
              <w:t xml:space="preserve"> Road, Lytham Road, Queens Road and Victoria Road</w:t>
            </w:r>
            <w:r>
              <w:rPr>
                <w:rFonts w:ascii="Calibri" w:hAnsi="Calibri"/>
                <w:szCs w:val="24"/>
              </w:rPr>
              <w:t xml:space="preserve"> to create a </w:t>
            </w:r>
            <w:r w:rsidRPr="00B94149">
              <w:rPr>
                <w:rFonts w:ascii="Calibri" w:hAnsi="Calibri"/>
                <w:szCs w:val="24"/>
              </w:rPr>
              <w:t>Quiet route From NCR6 to NCR62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£147,000</w:t>
            </w:r>
          </w:p>
        </w:tc>
        <w:bookmarkStart w:id="0" w:name="_GoBack"/>
        <w:bookmarkEnd w:id="0"/>
      </w:tr>
      <w:tr w:rsidR="00961228" w:rsidTr="007E7909">
        <w:trPr>
          <w:trHeight w:val="140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t>Strand Road Crossing, Preston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t>Preston City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CONTRIBUTION</w:t>
            </w:r>
          </w:p>
          <w:p w:rsidR="003A0279" w:rsidRPr="00BF4D51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 w:rsidRPr="00B94149">
              <w:rPr>
                <w:rFonts w:ascii="Calibri" w:hAnsi="Calibri"/>
                <w:szCs w:val="24"/>
              </w:rPr>
              <w:t xml:space="preserve">Contribution to </w:t>
            </w:r>
            <w:r>
              <w:rPr>
                <w:rFonts w:ascii="Calibri" w:hAnsi="Calibri"/>
                <w:szCs w:val="24"/>
              </w:rPr>
              <w:t xml:space="preserve">a </w:t>
            </w:r>
            <w:r w:rsidRPr="00B94149">
              <w:rPr>
                <w:rFonts w:ascii="Calibri" w:hAnsi="Calibri"/>
                <w:szCs w:val="24"/>
              </w:rPr>
              <w:t xml:space="preserve">Network </w:t>
            </w:r>
            <w:r>
              <w:rPr>
                <w:rFonts w:ascii="Calibri" w:hAnsi="Calibri"/>
                <w:szCs w:val="24"/>
              </w:rPr>
              <w:t>R</w:t>
            </w:r>
            <w:r w:rsidRPr="00B94149">
              <w:rPr>
                <w:rFonts w:ascii="Calibri" w:hAnsi="Calibri"/>
                <w:szCs w:val="24"/>
              </w:rPr>
              <w:t>ail s</w:t>
            </w:r>
            <w:r>
              <w:rPr>
                <w:rFonts w:ascii="Calibri" w:hAnsi="Calibri"/>
                <w:szCs w:val="24"/>
              </w:rPr>
              <w:t>cheme - Coloured cycle lane, hatched area and warning /</w:t>
            </w:r>
            <w:r w:rsidRPr="00B94149">
              <w:rPr>
                <w:rFonts w:ascii="Calibri" w:hAnsi="Calibri"/>
                <w:szCs w:val="24"/>
              </w:rPr>
              <w:t xml:space="preserve"> direction signs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£10,000</w:t>
            </w:r>
          </w:p>
        </w:tc>
      </w:tr>
      <w:tr w:rsidR="00961228" w:rsidTr="007E7909">
        <w:trPr>
          <w:trHeight w:val="140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t xml:space="preserve">Guild Wheel </w:t>
            </w:r>
            <w:proofErr w:type="spellStart"/>
            <w:r w:rsidRPr="00B94149">
              <w:rPr>
                <w:rFonts w:ascii="Calibri" w:hAnsi="Calibri"/>
                <w:color w:val="000000"/>
                <w:szCs w:val="24"/>
              </w:rPr>
              <w:t>Eastway</w:t>
            </w:r>
            <w:proofErr w:type="spellEnd"/>
            <w:r w:rsidRPr="00B94149">
              <w:rPr>
                <w:rFonts w:ascii="Calibri" w:hAnsi="Calibri"/>
                <w:color w:val="000000"/>
                <w:szCs w:val="24"/>
              </w:rPr>
              <w:t xml:space="preserve"> Improvements, Preston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BF4D51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t>Preston North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B94149">
              <w:rPr>
                <w:rFonts w:ascii="Calibri" w:hAnsi="Calibri"/>
                <w:color w:val="000000"/>
                <w:szCs w:val="24"/>
              </w:rPr>
              <w:t>Preston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 w:rsidRPr="00B94149">
              <w:rPr>
                <w:rFonts w:ascii="Calibri" w:hAnsi="Calibri"/>
                <w:szCs w:val="24"/>
              </w:rPr>
              <w:t xml:space="preserve">Provide </w:t>
            </w:r>
            <w:r>
              <w:rPr>
                <w:rFonts w:ascii="Calibri" w:hAnsi="Calibri"/>
                <w:szCs w:val="24"/>
              </w:rPr>
              <w:t>2 Parallel Crossings on the Guild Wheel network.</w:t>
            </w:r>
          </w:p>
          <w:p w:rsidR="003A0279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Crossing No.1 - Guild Wheel / </w:t>
            </w:r>
            <w:proofErr w:type="spellStart"/>
            <w:r>
              <w:rPr>
                <w:rFonts w:ascii="Calibri" w:hAnsi="Calibri"/>
                <w:szCs w:val="24"/>
              </w:rPr>
              <w:t>Olivers</w:t>
            </w:r>
            <w:proofErr w:type="spellEnd"/>
            <w:r>
              <w:rPr>
                <w:rFonts w:ascii="Calibri" w:hAnsi="Calibri"/>
                <w:szCs w:val="24"/>
              </w:rPr>
              <w:t>' Place</w:t>
            </w:r>
          </w:p>
          <w:p w:rsidR="003A0279" w:rsidRPr="00BF4D51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Crossing No.2 - Guild Wheel / Pitman Way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Default="00672DE1" w:rsidP="007E7909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£70,000</w:t>
            </w:r>
          </w:p>
        </w:tc>
      </w:tr>
      <w:tr w:rsidR="00961228" w:rsidTr="007E7909">
        <w:trPr>
          <w:trHeight w:val="1406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60A57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60A57">
              <w:rPr>
                <w:rFonts w:ascii="Calibri" w:hAnsi="Calibri"/>
                <w:color w:val="000000"/>
                <w:szCs w:val="24"/>
              </w:rPr>
              <w:t>Pipeline project planning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60A57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60A57">
              <w:rPr>
                <w:rFonts w:ascii="Calibri" w:hAnsi="Calibri"/>
                <w:color w:val="000000"/>
                <w:szCs w:val="24"/>
              </w:rPr>
              <w:t>N/A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60A57" w:rsidRDefault="00672DE1" w:rsidP="007E7909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C60A57">
              <w:rPr>
                <w:rFonts w:ascii="Calibri" w:hAnsi="Calibri"/>
                <w:color w:val="000000"/>
                <w:szCs w:val="24"/>
              </w:rPr>
              <w:t>Countywide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60A57" w:rsidRDefault="00672DE1" w:rsidP="007E7909">
            <w:pPr>
              <w:jc w:val="center"/>
              <w:rPr>
                <w:rFonts w:ascii="Calibri" w:hAnsi="Calibri"/>
                <w:szCs w:val="24"/>
              </w:rPr>
            </w:pPr>
            <w:r w:rsidRPr="00C60A57">
              <w:rPr>
                <w:rFonts w:ascii="Calibri" w:hAnsi="Calibri"/>
                <w:szCs w:val="24"/>
              </w:rPr>
              <w:t>Pipeline Development Work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279" w:rsidRPr="00C60A57" w:rsidRDefault="00672DE1" w:rsidP="007E7909">
            <w:pPr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 w:rsidRPr="00C60A57">
              <w:rPr>
                <w:rFonts w:ascii="Calibri" w:hAnsi="Calibri"/>
                <w:bCs/>
                <w:color w:val="000000"/>
                <w:szCs w:val="24"/>
              </w:rPr>
              <w:t>£19,000</w:t>
            </w:r>
          </w:p>
        </w:tc>
      </w:tr>
      <w:tr w:rsidR="00961228" w:rsidTr="007E7909">
        <w:trPr>
          <w:trHeight w:val="525"/>
        </w:trPr>
        <w:tc>
          <w:tcPr>
            <w:tcW w:w="4278" w:type="pct"/>
            <w:gridSpan w:val="4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3A0279" w:rsidRPr="00C826B5" w:rsidRDefault="00672DE1" w:rsidP="007E7909">
            <w:pPr>
              <w:jc w:val="right"/>
              <w:rPr>
                <w:rFonts w:ascii="Calibri" w:hAnsi="Calibri"/>
                <w:b/>
                <w:color w:val="000000"/>
                <w:szCs w:val="24"/>
              </w:rPr>
            </w:pPr>
            <w:r w:rsidRPr="00C826B5">
              <w:rPr>
                <w:rFonts w:ascii="Calibri" w:hAnsi="Calibri" w:cs="Arial"/>
                <w:b/>
                <w:bCs/>
                <w:szCs w:val="24"/>
              </w:rPr>
              <w:t>For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ecas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23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O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tt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urn</w:t>
            </w:r>
            <w:r w:rsidRPr="00C826B5">
              <w:rPr>
                <w:rFonts w:ascii="Calibri" w:hAnsi="Calibri" w:cs="Arial"/>
                <w:b/>
                <w:bCs/>
                <w:spacing w:val="19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C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-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spacing w:val="1"/>
                <w:szCs w:val="24"/>
              </w:rPr>
              <w:t>a</w:t>
            </w:r>
            <w:r w:rsidRPr="00C826B5">
              <w:rPr>
                <w:rFonts w:ascii="Calibri" w:hAnsi="Calibri" w:cs="Arial"/>
                <w:b/>
                <w:bCs/>
                <w:szCs w:val="24"/>
              </w:rPr>
              <w:t>l</w:t>
            </w:r>
            <w:r w:rsidRPr="00C826B5">
              <w:rPr>
                <w:rFonts w:ascii="Calibri" w:hAnsi="Calibri" w:cs="Arial"/>
                <w:b/>
                <w:bCs/>
                <w:spacing w:val="15"/>
                <w:szCs w:val="24"/>
              </w:rPr>
              <w:t xml:space="preserve"> 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x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p</w:t>
            </w:r>
            <w:r w:rsidRPr="00C826B5">
              <w:rPr>
                <w:rFonts w:ascii="Calibri" w:hAnsi="Calibri" w:cs="Arial"/>
                <w:b/>
                <w:bCs/>
                <w:spacing w:val="1"/>
                <w:w w:val="102"/>
                <w:szCs w:val="24"/>
              </w:rPr>
              <w:t>e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nd</w:t>
            </w:r>
            <w:r w:rsidRPr="00C826B5">
              <w:rPr>
                <w:rFonts w:ascii="Calibri" w:hAnsi="Calibri" w:cs="Arial"/>
                <w:b/>
                <w:bCs/>
                <w:spacing w:val="-2"/>
                <w:w w:val="102"/>
                <w:szCs w:val="24"/>
              </w:rPr>
              <w:t>i</w:t>
            </w:r>
            <w:r w:rsidRPr="00C826B5">
              <w:rPr>
                <w:rFonts w:ascii="Calibri" w:hAnsi="Calibri" w:cs="Arial"/>
                <w:b/>
                <w:bCs/>
                <w:spacing w:val="2"/>
                <w:w w:val="102"/>
                <w:szCs w:val="24"/>
              </w:rPr>
              <w:t>t</w:t>
            </w:r>
            <w:r w:rsidRPr="00C826B5">
              <w:rPr>
                <w:rFonts w:ascii="Calibri" w:hAnsi="Calibri" w:cs="Arial"/>
                <w:b/>
                <w:bCs/>
                <w:w w:val="102"/>
                <w:szCs w:val="24"/>
              </w:rPr>
              <w:t>ure: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3A0279" w:rsidRPr="00C826B5" w:rsidRDefault="00672DE1" w:rsidP="007E790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826B5">
              <w:rPr>
                <w:rFonts w:ascii="Calibri" w:hAnsi="Calibri"/>
                <w:b/>
                <w:bCs/>
                <w:color w:val="000000"/>
                <w:szCs w:val="24"/>
              </w:rPr>
              <w:t>£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>500,000</w:t>
            </w:r>
          </w:p>
        </w:tc>
      </w:tr>
    </w:tbl>
    <w:p w:rsidR="003A0279" w:rsidRPr="00C826B5" w:rsidRDefault="00A27449" w:rsidP="003A0279">
      <w:pPr>
        <w:jc w:val="both"/>
        <w:rPr>
          <w:rFonts w:ascii="Calibri" w:hAnsi="Calibri" w:cs="Arial"/>
          <w:b/>
          <w:szCs w:val="24"/>
        </w:rPr>
      </w:pPr>
    </w:p>
    <w:p w:rsidR="000932A2" w:rsidRDefault="00A27449"/>
    <w:sectPr w:rsidR="000932A2" w:rsidSect="003A0279">
      <w:footerReference w:type="default" r:id="rId6"/>
      <w:footerReference w:type="first" r:id="rId7"/>
      <w:pgSz w:w="11907" w:h="16840" w:code="9"/>
      <w:pgMar w:top="1440" w:right="1440" w:bottom="851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9A" w:rsidRDefault="00672DE1">
      <w:r>
        <w:separator/>
      </w:r>
    </w:p>
  </w:endnote>
  <w:endnote w:type="continuationSeparator" w:id="0">
    <w:p w:rsidR="002D099A" w:rsidRDefault="0067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961228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E53185" w:rsidRDefault="00A27449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E53185" w:rsidRDefault="00A27449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961228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E53185" w:rsidRDefault="00A27449" w:rsidP="00AB5E7F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E53185" w:rsidRPr="0036487C" w:rsidRDefault="00A27449" w:rsidP="00AB5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9A" w:rsidRDefault="00672DE1">
      <w:r>
        <w:separator/>
      </w:r>
    </w:p>
  </w:footnote>
  <w:footnote w:type="continuationSeparator" w:id="0">
    <w:p w:rsidR="002D099A" w:rsidRDefault="0067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28"/>
    <w:rsid w:val="002D099A"/>
    <w:rsid w:val="00672DE1"/>
    <w:rsid w:val="00961228"/>
    <w:rsid w:val="00A27449"/>
    <w:rsid w:val="00A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34D05-07F4-4CE3-98FB-EC22CB6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02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9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4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Andrea</dc:creator>
  <cp:lastModifiedBy>Alker, Craig</cp:lastModifiedBy>
  <cp:revision>6</cp:revision>
  <dcterms:created xsi:type="dcterms:W3CDTF">2019-03-19T17:20:00Z</dcterms:created>
  <dcterms:modified xsi:type="dcterms:W3CDTF">2019-03-28T15:13:00Z</dcterms:modified>
</cp:coreProperties>
</file>